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0C" w:rsidRPr="006F798A" w:rsidRDefault="0084496A">
      <w:pPr>
        <w:rPr>
          <w:u w:val="single"/>
        </w:rPr>
      </w:pPr>
      <w:r w:rsidRPr="006F798A">
        <w:rPr>
          <w:u w:val="single"/>
        </w:rPr>
        <w:t>Що відбулось:</w:t>
      </w:r>
    </w:p>
    <w:p w:rsidR="0084496A" w:rsidRDefault="0084496A" w:rsidP="0084496A">
      <w:r w:rsidRPr="006F798A">
        <w:t xml:space="preserve">Українські </w:t>
      </w:r>
      <w:proofErr w:type="spellStart"/>
      <w:r w:rsidRPr="006F798A">
        <w:t>телеком</w:t>
      </w:r>
      <w:proofErr w:type="spellEnd"/>
      <w:r w:rsidRPr="006F798A">
        <w:t xml:space="preserve">-компанії – </w:t>
      </w:r>
      <w:proofErr w:type="spellStart"/>
      <w:r w:rsidRPr="006F798A">
        <w:t>Vodafone</w:t>
      </w:r>
      <w:proofErr w:type="spellEnd"/>
      <w:r w:rsidRPr="006F798A">
        <w:t xml:space="preserve"> та Київстар – підписали меморандум про взаємне використання мереж та запрошують приєднатись до нього усі компанії, які отримали ліцензії на розбудову 4G у діапазоні 900 МГц.</w:t>
      </w:r>
    </w:p>
    <w:p w:rsidR="0084496A" w:rsidRPr="006F798A" w:rsidRDefault="0084496A">
      <w:pPr>
        <w:rPr>
          <w:u w:val="single"/>
        </w:rPr>
      </w:pPr>
      <w:r w:rsidRPr="006F798A">
        <w:rPr>
          <w:u w:val="single"/>
        </w:rPr>
        <w:t>Що це означає:</w:t>
      </w:r>
    </w:p>
    <w:p w:rsidR="00506586" w:rsidRPr="006F798A" w:rsidRDefault="00506586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Враховуючи амбіційні вимоги ліцензії щодо забезпечення 4G покриття та </w:t>
      </w:r>
      <w:r w:rsidRP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малий обсяг бізнесу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 невеликих населених пунктах (менше 2000 жителів),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Vodafone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та Київстар погодились спільно розбудовувати національне покриття для охоплення 90% населення країни. Для цього домовлятись про взаємний доступ до інфраструктури LTE 900 МГц (далі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RAN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Sharing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</w:p>
    <w:p w:rsidR="0084496A" w:rsidRPr="006F798A" w:rsidRDefault="0084496A">
      <w:pPr>
        <w:rPr>
          <w:u w:val="single"/>
        </w:rPr>
      </w:pPr>
      <w:r w:rsidRPr="006F798A">
        <w:rPr>
          <w:u w:val="single"/>
        </w:rPr>
        <w:t>Що таке 4G RAN:</w:t>
      </w:r>
    </w:p>
    <w:p w:rsidR="0084496A" w:rsidRPr="006F798A" w:rsidRDefault="0084496A">
      <w:r w:rsidRPr="006F798A">
        <w:t>Це можливість</w:t>
      </w:r>
      <w:r w:rsidR="00E7617C" w:rsidRPr="006F798A">
        <w:t xml:space="preserve"> спільного використанн</w:t>
      </w:r>
      <w:r w:rsidR="00506586" w:rsidRPr="00CA63C7">
        <w:t>я</w:t>
      </w:r>
      <w:r w:rsidR="00E7617C" w:rsidRPr="006F798A">
        <w:t xml:space="preserve"> інфраструктури мобільних мереж</w:t>
      </w:r>
      <w:r w:rsidR="00506586" w:rsidRPr="00CA63C7">
        <w:t xml:space="preserve">, 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який має декілька видів реалізації</w:t>
      </w:r>
      <w:r w:rsidR="00E7617C" w:rsidRPr="006F798A">
        <w:t>:</w:t>
      </w:r>
    </w:p>
    <w:p w:rsidR="00E7617C" w:rsidRPr="006F798A" w:rsidRDefault="00E7617C" w:rsidP="007E3BF9">
      <w:pPr>
        <w:pStyle w:val="a3"/>
        <w:numPr>
          <w:ilvl w:val="0"/>
          <w:numId w:val="6"/>
        </w:numPr>
      </w:pPr>
      <w:r w:rsidRPr="006F798A">
        <w:t xml:space="preserve">пасивний </w:t>
      </w:r>
      <w:proofErr w:type="spellStart"/>
      <w:r w:rsidRPr="006F798A">
        <w:t>шерінг</w:t>
      </w:r>
      <w:proofErr w:type="spellEnd"/>
      <w:r w:rsidRPr="006F798A">
        <w:t xml:space="preserve"> – спільне використання 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щогл</w:t>
      </w:r>
      <w:r w:rsidR="00506586" w:rsidRPr="006F798A">
        <w:t xml:space="preserve"> </w:t>
      </w:r>
      <w:r w:rsidRPr="006F798A">
        <w:t xml:space="preserve">та майданчиків для встановлення 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операторами </w:t>
      </w:r>
      <w:r w:rsidRPr="006F798A">
        <w:t xml:space="preserve">власного радіо-обладнання. Вже активно використовується всіма операторами. </w:t>
      </w:r>
    </w:p>
    <w:p w:rsidR="00E7617C" w:rsidRPr="006F798A" w:rsidRDefault="00E7617C" w:rsidP="007E3BF9">
      <w:pPr>
        <w:pStyle w:val="a3"/>
        <w:numPr>
          <w:ilvl w:val="0"/>
          <w:numId w:val="6"/>
        </w:numPr>
      </w:pPr>
      <w:r w:rsidRPr="006F798A">
        <w:t xml:space="preserve">активний </w:t>
      </w:r>
      <w:proofErr w:type="spellStart"/>
      <w:r w:rsidRPr="006F798A">
        <w:t>шерінг</w:t>
      </w:r>
      <w:proofErr w:type="spellEnd"/>
      <w:r w:rsidRPr="006F798A">
        <w:t xml:space="preserve"> – спільне використання радіо-обладнання; Приклади: спільне використання інфраструктури на </w:t>
      </w:r>
      <w:proofErr w:type="spellStart"/>
      <w:r w:rsidRPr="006F798A">
        <w:t>indoor</w:t>
      </w:r>
      <w:proofErr w:type="spellEnd"/>
      <w:r w:rsidRPr="006F798A">
        <w:t xml:space="preserve">-об’єктах, таких як метро </w:t>
      </w:r>
      <w:r w:rsidR="00506586">
        <w:rPr>
          <w:lang w:val="ru-RU"/>
        </w:rPr>
        <w:t>в</w:t>
      </w:r>
      <w:r w:rsidRPr="006F798A">
        <w:t xml:space="preserve"> Києві.</w:t>
      </w:r>
    </w:p>
    <w:p w:rsidR="00E7617C" w:rsidRDefault="00E7617C" w:rsidP="007E3BF9">
      <w:pPr>
        <w:pStyle w:val="a3"/>
        <w:numPr>
          <w:ilvl w:val="0"/>
          <w:numId w:val="6"/>
        </w:numPr>
      </w:pPr>
      <w:proofErr w:type="spellStart"/>
      <w:r w:rsidRPr="006F798A">
        <w:t>шерінг</w:t>
      </w:r>
      <w:proofErr w:type="spellEnd"/>
      <w:r w:rsidRPr="006F798A">
        <w:t xml:space="preserve"> РЧР – </w:t>
      </w:r>
      <w:proofErr w:type="spellStart"/>
      <w:r w:rsidRPr="006F798A">
        <w:t>шерінг</w:t>
      </w:r>
      <w:proofErr w:type="spellEnd"/>
      <w:r w:rsidRPr="006F798A">
        <w:t xml:space="preserve"> зі спільним використанням радіочастотного спектру. В Україні наразі не використовується через законодавчі обмеження.</w:t>
      </w:r>
    </w:p>
    <w:p w:rsidR="00E7617C" w:rsidRPr="006F798A" w:rsidRDefault="00E7617C" w:rsidP="00E7617C">
      <w:r w:rsidRPr="006F798A">
        <w:rPr>
          <w:u w:val="single"/>
        </w:rPr>
        <w:t>Для чого</w:t>
      </w:r>
      <w:r w:rsidRPr="006F798A">
        <w:t>:</w:t>
      </w:r>
    </w:p>
    <w:p w:rsidR="00E7617C" w:rsidRPr="006F798A" w:rsidRDefault="00E7617C" w:rsidP="007E3BF9">
      <w:pPr>
        <w:pStyle w:val="a3"/>
        <w:numPr>
          <w:ilvl w:val="1"/>
          <w:numId w:val="7"/>
        </w:numPr>
        <w:ind w:left="709"/>
      </w:pPr>
      <w:r w:rsidRPr="006F798A">
        <w:t>Більш ефективне використання інвестицій</w:t>
      </w:r>
    </w:p>
    <w:p w:rsidR="00E7617C" w:rsidRPr="00474F56" w:rsidRDefault="00E7617C" w:rsidP="007E3BF9">
      <w:pPr>
        <w:pStyle w:val="a3"/>
        <w:numPr>
          <w:ilvl w:val="1"/>
          <w:numId w:val="7"/>
        </w:numPr>
        <w:ind w:left="709"/>
      </w:pPr>
      <w:r w:rsidRPr="00474F56">
        <w:t>Скорочення часу розгортання мережі</w:t>
      </w:r>
      <w:r w:rsidR="00474F56" w:rsidRPr="00474F56">
        <w:t xml:space="preserve"> = швидше виконання ліцензійних зобов’язань</w:t>
      </w:r>
    </w:p>
    <w:p w:rsidR="00E7617C" w:rsidRPr="006F798A" w:rsidRDefault="00E7617C" w:rsidP="007E3BF9">
      <w:pPr>
        <w:pStyle w:val="a3"/>
        <w:numPr>
          <w:ilvl w:val="1"/>
          <w:numId w:val="7"/>
        </w:numPr>
        <w:ind w:left="709"/>
      </w:pPr>
      <w:r w:rsidRPr="006F798A">
        <w:t>Збільшення можливостей щодо розширення покриття</w:t>
      </w:r>
    </w:p>
    <w:p w:rsidR="00E7617C" w:rsidRPr="006F798A" w:rsidRDefault="00E7617C" w:rsidP="0084496A">
      <w:pPr>
        <w:jc w:val="both"/>
        <w:rPr>
          <w:u w:val="single"/>
        </w:rPr>
      </w:pPr>
      <w:r w:rsidRPr="006F798A">
        <w:rPr>
          <w:u w:val="single"/>
        </w:rPr>
        <w:t>Законодавча база:</w:t>
      </w:r>
    </w:p>
    <w:p w:rsidR="006F798A" w:rsidRPr="006F798A" w:rsidRDefault="00506586" w:rsidP="0084496A">
      <w:pPr>
        <w:jc w:val="both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RAN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Sharing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 повному обсязі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не </w:t>
      </w:r>
      <w:r w:rsidR="006F798A" w:rsidRPr="006F798A">
        <w:t xml:space="preserve">використовується при розгортанні </w:t>
      </w:r>
      <w:r>
        <w:rPr>
          <w:lang w:val="ru-RU"/>
        </w:rPr>
        <w:t>мереж</w:t>
      </w:r>
      <w:r w:rsidR="006F798A" w:rsidRPr="006F798A">
        <w:t xml:space="preserve"> через обмеження щодо </w:t>
      </w:r>
      <w:r w:rsidR="00E7617C" w:rsidRPr="006F798A">
        <w:t>с</w:t>
      </w:r>
      <w:r w:rsidR="006F798A" w:rsidRPr="006F798A">
        <w:t>пільного</w:t>
      </w:r>
      <w:r w:rsidR="00E7617C" w:rsidRPr="006F798A">
        <w:t xml:space="preserve"> </w:t>
      </w:r>
      <w:r w:rsidR="006F798A" w:rsidRPr="006F798A">
        <w:t>в</w:t>
      </w:r>
      <w:r w:rsidR="00E7617C" w:rsidRPr="006F798A">
        <w:t>и</w:t>
      </w:r>
      <w:r w:rsidR="006F798A" w:rsidRPr="006F798A">
        <w:t>к</w:t>
      </w:r>
      <w:r w:rsidR="00E7617C" w:rsidRPr="006F798A">
        <w:t>о</w:t>
      </w:r>
      <w:r w:rsidR="006F798A" w:rsidRPr="006F798A">
        <w:t>рист</w:t>
      </w:r>
      <w:r w:rsidR="00E7617C" w:rsidRPr="006F798A">
        <w:t>ан</w:t>
      </w:r>
      <w:r w:rsidR="006F798A" w:rsidRPr="006F798A">
        <w:t>ня</w:t>
      </w:r>
      <w:r w:rsidR="00E7617C" w:rsidRPr="006F798A">
        <w:t xml:space="preserve"> частот.</w:t>
      </w:r>
    </w:p>
    <w:p w:rsidR="00E7617C" w:rsidRDefault="006F798A" w:rsidP="0084496A">
      <w:pPr>
        <w:jc w:val="both"/>
      </w:pPr>
      <w:r w:rsidRPr="006F798A">
        <w:t xml:space="preserve">Спільне використання частот наразі </w:t>
      </w:r>
      <w:r w:rsidR="00E7617C" w:rsidRPr="006F798A">
        <w:t>не п</w:t>
      </w:r>
      <w:r w:rsidRPr="006F798A">
        <w:t>е</w:t>
      </w:r>
      <w:r w:rsidR="00E7617C" w:rsidRPr="006F798A">
        <w:t>ред</w:t>
      </w:r>
      <w:r w:rsidRPr="006F798A">
        <w:t>бач</w:t>
      </w:r>
      <w:r w:rsidR="00E7617C" w:rsidRPr="006F798A">
        <w:t>ено законода</w:t>
      </w:r>
      <w:r w:rsidRPr="006F798A">
        <w:t>в</w:t>
      </w:r>
      <w:r w:rsidR="00E7617C" w:rsidRPr="006F798A">
        <w:t>ством</w:t>
      </w:r>
      <w:r w:rsidRPr="006F798A">
        <w:t>.</w:t>
      </w:r>
      <w:r w:rsidR="00E7617C" w:rsidRPr="006F798A">
        <w:t xml:space="preserve"> </w:t>
      </w:r>
      <w:r w:rsidRPr="006F798A">
        <w:t xml:space="preserve">Разом з цим, </w:t>
      </w:r>
      <w:r w:rsidR="00E7617C" w:rsidRPr="006F798A">
        <w:t>в Парламент</w:t>
      </w:r>
      <w:r w:rsidRPr="006F798A">
        <w:t>і</w:t>
      </w:r>
      <w:r w:rsidR="00E7617C" w:rsidRPr="006F798A">
        <w:t xml:space="preserve"> заре</w:t>
      </w:r>
      <w:r w:rsidRPr="006F798A">
        <w:t>є</w:t>
      </w:r>
      <w:r w:rsidR="00E7617C" w:rsidRPr="006F798A">
        <w:t>строван</w:t>
      </w:r>
      <w:r w:rsidRPr="006F798A">
        <w:t>ий</w:t>
      </w:r>
      <w:r w:rsidR="00E7617C" w:rsidRPr="006F798A">
        <w:t xml:space="preserve"> Законопроект про </w:t>
      </w:r>
      <w:r w:rsidRPr="006F798A">
        <w:t>Е</w:t>
      </w:r>
      <w:r w:rsidR="00E7617C" w:rsidRPr="006F798A">
        <w:t>лектронн</w:t>
      </w:r>
      <w:r w:rsidRPr="006F798A">
        <w:t>і</w:t>
      </w:r>
      <w:r w:rsidR="00E7617C" w:rsidRPr="006F798A">
        <w:t xml:space="preserve"> комун</w:t>
      </w:r>
      <w:r w:rsidRPr="006F798A">
        <w:t>і</w:t>
      </w:r>
      <w:r w:rsidR="00E7617C" w:rsidRPr="006F798A">
        <w:t>кац</w:t>
      </w:r>
      <w:r w:rsidRPr="006F798A">
        <w:t>ії</w:t>
      </w:r>
      <w:r w:rsidR="00E7617C" w:rsidRPr="006F798A">
        <w:t xml:space="preserve"> (№ 3014), </w:t>
      </w:r>
      <w:r w:rsidRPr="006F798A">
        <w:t>я</w:t>
      </w:r>
      <w:r w:rsidR="00E7617C" w:rsidRPr="006F798A">
        <w:t>к</w:t>
      </w:r>
      <w:r w:rsidRPr="006F798A">
        <w:t>и</w:t>
      </w:r>
      <w:r w:rsidR="00E7617C" w:rsidRPr="006F798A">
        <w:t>й п</w:t>
      </w:r>
      <w:r w:rsidRPr="006F798A">
        <w:t>е</w:t>
      </w:r>
      <w:r w:rsidR="00E7617C" w:rsidRPr="006F798A">
        <w:t>ред</w:t>
      </w:r>
      <w:r w:rsidRPr="006F798A">
        <w:t>бачає</w:t>
      </w:r>
      <w:r w:rsidR="00E7617C" w:rsidRPr="006F798A">
        <w:t xml:space="preserve"> гармон</w:t>
      </w:r>
      <w:r w:rsidRPr="006F798A">
        <w:t>ізаці</w:t>
      </w:r>
      <w:r w:rsidR="00E7617C" w:rsidRPr="006F798A">
        <w:t>ю</w:t>
      </w:r>
      <w:r w:rsidRPr="006F798A">
        <w:t xml:space="preserve"> з</w:t>
      </w:r>
      <w:r w:rsidR="00E7617C" w:rsidRPr="006F798A">
        <w:t xml:space="preserve"> </w:t>
      </w:r>
      <w:r w:rsidRPr="006F798A">
        <w:t>однойменним є</w:t>
      </w:r>
      <w:r w:rsidR="00E7617C" w:rsidRPr="006F798A">
        <w:t>вропейс</w:t>
      </w:r>
      <w:r w:rsidRPr="006F798A">
        <w:t>ь</w:t>
      </w:r>
      <w:r w:rsidR="00E7617C" w:rsidRPr="006F798A">
        <w:t>ким кодексом</w:t>
      </w:r>
      <w:r w:rsidRPr="006F798A">
        <w:t xml:space="preserve">, у тому числи, щодо </w:t>
      </w:r>
      <w:proofErr w:type="spellStart"/>
      <w:r w:rsidRPr="006F798A">
        <w:t>ше</w:t>
      </w:r>
      <w:r w:rsidR="00E7617C" w:rsidRPr="006F798A">
        <w:t>р</w:t>
      </w:r>
      <w:r w:rsidRPr="006F798A">
        <w:t>і</w:t>
      </w:r>
      <w:r w:rsidR="00E7617C" w:rsidRPr="006F798A">
        <w:t>нг</w:t>
      </w:r>
      <w:r w:rsidRPr="006F798A">
        <w:t>у</w:t>
      </w:r>
      <w:proofErr w:type="spellEnd"/>
      <w:r w:rsidR="00E7617C" w:rsidRPr="006F798A">
        <w:t xml:space="preserve"> </w:t>
      </w:r>
      <w:r w:rsidRPr="006F798A">
        <w:t>у</w:t>
      </w:r>
      <w:r w:rsidR="00E7617C" w:rsidRPr="006F798A">
        <w:t>с</w:t>
      </w:r>
      <w:r w:rsidRPr="006F798A">
        <w:t>і</w:t>
      </w:r>
      <w:r w:rsidR="00E7617C" w:rsidRPr="006F798A">
        <w:t>х вид</w:t>
      </w:r>
      <w:r w:rsidRPr="006F798A">
        <w:t>і</w:t>
      </w:r>
      <w:r w:rsidR="00E7617C" w:rsidRPr="006F798A">
        <w:t xml:space="preserve">в </w:t>
      </w:r>
      <w:r w:rsidRPr="006F798A">
        <w:t>і</w:t>
      </w:r>
      <w:r w:rsidR="00E7617C" w:rsidRPr="006F798A">
        <w:t>нфраструктур</w:t>
      </w:r>
      <w:r w:rsidRPr="006F798A">
        <w:t xml:space="preserve">и, </w:t>
      </w:r>
      <w:r w:rsidR="00E7617C" w:rsidRPr="006F798A">
        <w:t>включа</w:t>
      </w:r>
      <w:r w:rsidRPr="006F798A">
        <w:t>ючи</w:t>
      </w:r>
      <w:r w:rsidR="00E7617C" w:rsidRPr="006F798A">
        <w:t xml:space="preserve"> спектр без о</w:t>
      </w:r>
      <w:r w:rsidRPr="006F798A">
        <w:t>бмежень.</w:t>
      </w:r>
    </w:p>
    <w:p w:rsidR="006F798A" w:rsidRPr="006F798A" w:rsidRDefault="006F798A" w:rsidP="006F798A">
      <w:pPr>
        <w:jc w:val="both"/>
        <w:rPr>
          <w:u w:val="single"/>
        </w:rPr>
      </w:pPr>
      <w:r w:rsidRPr="006F798A">
        <w:rPr>
          <w:u w:val="single"/>
        </w:rPr>
        <w:t>Основні принципи меморандуму: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 xml:space="preserve">відкритість до співробітництва 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>запрошено операторів телекомунікацій, які мають ліцензію на LTE в діапазоні 900 МГц;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>рівність вкладів;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>можливість передачі голосу та даних;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>фокус на дорогах та населених пунктах з населенням «– 2000» при умові економічної доцільності встановлення обладнання;</w:t>
      </w:r>
    </w:p>
    <w:p w:rsidR="006F798A" w:rsidRPr="006F798A" w:rsidRDefault="006F798A" w:rsidP="007E3BF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</w:pPr>
      <w:r w:rsidRPr="006F798A">
        <w:t>меморандум не обмежує операторів телекомунікацій умовами співпраці тільки по дорогах та населених пунктах з населенням «– 2000»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а при умові економічної доцільності встановлення обладнання може охоплювати й інші території</w:t>
      </w:r>
      <w:r w:rsidRPr="006F798A">
        <w:t>;</w:t>
      </w:r>
    </w:p>
    <w:p w:rsidR="00474F56" w:rsidRDefault="00474F56" w:rsidP="00C23FD3">
      <w:pPr>
        <w:rPr>
          <w:u w:val="single"/>
        </w:rPr>
      </w:pPr>
    </w:p>
    <w:p w:rsidR="00546BBC" w:rsidRPr="00474F56" w:rsidRDefault="006F798A" w:rsidP="00C23FD3">
      <w:pPr>
        <w:rPr>
          <w:u w:val="single"/>
        </w:rPr>
      </w:pPr>
      <w:r w:rsidRPr="00474F56">
        <w:rPr>
          <w:u w:val="single"/>
        </w:rPr>
        <w:t>Історія питання:</w:t>
      </w:r>
    </w:p>
    <w:p w:rsidR="006F798A" w:rsidRDefault="006F798A" w:rsidP="00C23FD3">
      <w:r>
        <w:lastRenderedPageBreak/>
        <w:t>Перші обговорення почались на стадії запуску 3</w:t>
      </w:r>
      <w:r>
        <w:rPr>
          <w:lang w:val="en-US"/>
        </w:rPr>
        <w:t>G</w:t>
      </w:r>
      <w:r w:rsidR="00506586">
        <w:rPr>
          <w:lang w:val="ru-RU"/>
        </w:rPr>
        <w:t xml:space="preserve"> 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початку 2015 року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продовжувались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запусків</w:t>
      </w:r>
      <w:proofErr w:type="spellEnd"/>
      <w:r>
        <w:rPr>
          <w:lang w:val="ru-RU"/>
        </w:rPr>
        <w:t xml:space="preserve"> 4</w:t>
      </w:r>
      <w:r>
        <w:rPr>
          <w:lang w:val="en-US"/>
        </w:rPr>
        <w:t>G</w:t>
      </w:r>
      <w:r w:rsidR="00506586">
        <w:rPr>
          <w:lang w:val="ru-RU"/>
        </w:rPr>
        <w:t xml:space="preserve"> </w:t>
      </w:r>
      <w:r w:rsidR="005065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2018 році</w:t>
      </w:r>
      <w:r>
        <w:rPr>
          <w:lang w:val="ru-RU"/>
        </w:rPr>
        <w:t xml:space="preserve">, </w:t>
      </w:r>
      <w:r>
        <w:t>та набули особливо гострої актуальності напередодні розгортання покриття у «низьких» частотах - 900 МГц.</w:t>
      </w:r>
    </w:p>
    <w:p w:rsidR="006F798A" w:rsidRPr="00474F56" w:rsidRDefault="006F798A" w:rsidP="00C23FD3">
      <w:pPr>
        <w:rPr>
          <w:u w:val="single"/>
        </w:rPr>
      </w:pPr>
      <w:r w:rsidRPr="00474F56">
        <w:rPr>
          <w:u w:val="single"/>
        </w:rPr>
        <w:t xml:space="preserve">Фактори: </w:t>
      </w:r>
    </w:p>
    <w:p w:rsidR="006F798A" w:rsidRDefault="007E3BF9" w:rsidP="007E3BF9">
      <w:pPr>
        <w:pStyle w:val="a3"/>
        <w:numPr>
          <w:ilvl w:val="0"/>
          <w:numId w:val="8"/>
        </w:numPr>
      </w:pPr>
      <w:r w:rsidRPr="007E3BF9">
        <w:t>Враховуючи амбіційні</w:t>
      </w:r>
      <w:r>
        <w:t xml:space="preserve"> терміни та вимоги до покриття LTE 900, прописані в ліцензійних умовах, самостійно кожному з учасни</w:t>
      </w:r>
      <w:bookmarkStart w:id="0" w:name="_GoBack"/>
      <w:bookmarkEnd w:id="0"/>
      <w:r>
        <w:t>ків проекту це буде важко реалізувати і фінансово, і організаційно.</w:t>
      </w:r>
    </w:p>
    <w:p w:rsidR="006F798A" w:rsidRDefault="00474F56" w:rsidP="007E3BF9">
      <w:pPr>
        <w:pStyle w:val="a3"/>
        <w:numPr>
          <w:ilvl w:val="0"/>
          <w:numId w:val="8"/>
        </w:numPr>
      </w:pPr>
      <w:r>
        <w:t>К</w:t>
      </w:r>
      <w:r w:rsidRPr="006F798A">
        <w:t>арантин і відсутність доходів від роумінгу</w:t>
      </w:r>
      <w:r>
        <w:t xml:space="preserve"> актуалізували питання </w:t>
      </w:r>
      <w:proofErr w:type="spellStart"/>
      <w:r>
        <w:t>шерінгу</w:t>
      </w:r>
      <w:proofErr w:type="spellEnd"/>
      <w:r w:rsidR="007E3BF9">
        <w:t>.</w:t>
      </w:r>
    </w:p>
    <w:p w:rsidR="00474F56" w:rsidRPr="00474F56" w:rsidRDefault="00474F56" w:rsidP="00474F56">
      <w:pPr>
        <w:rPr>
          <w:u w:val="single"/>
        </w:rPr>
      </w:pPr>
      <w:r w:rsidRPr="00474F56">
        <w:rPr>
          <w:u w:val="single"/>
        </w:rPr>
        <w:t>Приклади використання:</w:t>
      </w:r>
    </w:p>
    <w:p w:rsidR="00154245" w:rsidRDefault="00154245" w:rsidP="00154245">
      <w:r>
        <w:t xml:space="preserve">Велика Британія, </w:t>
      </w:r>
      <w:r w:rsidRPr="00154245">
        <w:t xml:space="preserve">UK </w:t>
      </w:r>
      <w:proofErr w:type="spellStart"/>
      <w:r w:rsidRPr="00154245">
        <w:t>Shared</w:t>
      </w:r>
      <w:proofErr w:type="spellEnd"/>
      <w:r w:rsidRPr="00154245">
        <w:t xml:space="preserve"> </w:t>
      </w:r>
      <w:proofErr w:type="spellStart"/>
      <w:r w:rsidRPr="00154245">
        <w:t>Rural</w:t>
      </w:r>
      <w:proofErr w:type="spellEnd"/>
      <w:r w:rsidRPr="00154245">
        <w:t xml:space="preserve"> </w:t>
      </w:r>
      <w:proofErr w:type="spellStart"/>
      <w:r w:rsidRPr="00154245">
        <w:t>Network</w:t>
      </w:r>
      <w:proofErr w:type="spellEnd"/>
    </w:p>
    <w:p w:rsidR="00154245" w:rsidRDefault="00154245" w:rsidP="00154245">
      <w:r>
        <w:t xml:space="preserve">Оператори оголосили про план розбудову мережі у сільській місцевості. Оператори вкладають </w:t>
      </w:r>
      <w:r w:rsidRPr="00154245">
        <w:t xml:space="preserve">£530 </w:t>
      </w:r>
      <w:r>
        <w:t xml:space="preserve">мільйонів, </w:t>
      </w:r>
      <w:r w:rsidRPr="00154245">
        <w:t>£500</w:t>
      </w:r>
      <w:r>
        <w:t xml:space="preserve"> </w:t>
      </w:r>
      <w:proofErr w:type="spellStart"/>
      <w:r>
        <w:t>інвесиує</w:t>
      </w:r>
      <w:proofErr w:type="spellEnd"/>
      <w:r>
        <w:t xml:space="preserve"> Уряд. У рамках взаємодії оператори домовились розділити один з одним існуюче покриття в сільській місцевості, і разом збудувати нові «нейтральні» для кожного з операторів об</w:t>
      </w:r>
      <w:r w:rsidRPr="00154245">
        <w:t>’</w:t>
      </w:r>
      <w:r>
        <w:t>єкти зв</w:t>
      </w:r>
      <w:r w:rsidRPr="00154245">
        <w:t>’</w:t>
      </w:r>
      <w:r>
        <w:t>язку там, де покриття досі немає.</w:t>
      </w:r>
    </w:p>
    <w:p w:rsidR="00E20BF9" w:rsidRDefault="00E20BF9" w:rsidP="00E20BF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Малазія</w:t>
      </w:r>
      <w:proofErr w:type="spellEnd"/>
    </w:p>
    <w:p w:rsidR="00E20BF9" w:rsidRDefault="00E20BF9" w:rsidP="00E20BF9">
      <w:r w:rsidRPr="003D57CA">
        <w:t xml:space="preserve">Ліцензії на діапазони спектра 700 МГц і 3,5 </w:t>
      </w:r>
      <w:proofErr w:type="spellStart"/>
      <w:r w:rsidRPr="003D57CA">
        <w:t>ГГц</w:t>
      </w:r>
      <w:proofErr w:type="spellEnd"/>
      <w:r w:rsidRPr="003D57CA">
        <w:t xml:space="preserve"> </w:t>
      </w:r>
      <w:proofErr w:type="spellStart"/>
      <w:r>
        <w:t>Малазійський</w:t>
      </w:r>
      <w:proofErr w:type="spellEnd"/>
      <w:r>
        <w:t xml:space="preserve"> регулятор планує </w:t>
      </w:r>
      <w:r w:rsidRPr="003D57CA">
        <w:t>нада</w:t>
      </w:r>
      <w:r>
        <w:t>ти</w:t>
      </w:r>
      <w:r w:rsidRPr="003D57CA">
        <w:t xml:space="preserve"> консорціуму, а не окремим телекомунікаційним </w:t>
      </w:r>
      <w:r>
        <w:t>компаніям</w:t>
      </w:r>
      <w:r w:rsidRPr="003D57CA">
        <w:t xml:space="preserve">. Інвестиції в інфраструктуру </w:t>
      </w:r>
      <w:r>
        <w:t>розп</w:t>
      </w:r>
      <w:r w:rsidRPr="003D57CA">
        <w:t>оділяться, як і ресурси спектру для надання комерційних послуг</w:t>
      </w:r>
      <w:r>
        <w:t>.</w:t>
      </w:r>
      <w:r w:rsidRPr="003D57CA">
        <w:t xml:space="preserve"> </w:t>
      </w:r>
    </w:p>
    <w:p w:rsidR="00E20BF9" w:rsidRDefault="00E20BF9" w:rsidP="00E20BF9">
      <w:proofErr w:type="spellStart"/>
      <w:r>
        <w:t>Кембрідж</w:t>
      </w:r>
      <w:proofErr w:type="spellEnd"/>
      <w:r>
        <w:t>, Велика Британія</w:t>
      </w:r>
    </w:p>
    <w:p w:rsidR="00E20BF9" w:rsidRDefault="00E20BF9" w:rsidP="00E20BF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Шерінг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використовується як рішення для розбудови мережі у місті з великою кількістю історичних будівель, на яких заборонено розміщувати обладнання.</w:t>
      </w:r>
    </w:p>
    <w:p w:rsidR="00E20BF9" w:rsidRDefault="00E20BF9" w:rsidP="00E20BF9">
      <w:r w:rsidRPr="00BB3D30">
        <w:t>Франція</w:t>
      </w:r>
    </w:p>
    <w:p w:rsidR="00E20BF9" w:rsidRDefault="00E20BF9" w:rsidP="00E20BF9">
      <w:r>
        <w:t>У</w:t>
      </w:r>
      <w:r w:rsidRPr="00BB3D30">
        <w:t xml:space="preserve"> міських та </w:t>
      </w:r>
      <w:r>
        <w:t>сільських</w:t>
      </w:r>
      <w:r w:rsidRPr="00BB3D30">
        <w:t xml:space="preserve"> районах оператори зобов’язані</w:t>
      </w:r>
      <w:r>
        <w:t>,</w:t>
      </w:r>
      <w:r w:rsidRPr="00BB3D30">
        <w:t xml:space="preserve"> </w:t>
      </w:r>
      <w:r>
        <w:t xml:space="preserve">згідно з </w:t>
      </w:r>
      <w:r w:rsidRPr="00BB3D30">
        <w:t>діючими правилами</w:t>
      </w:r>
      <w:r>
        <w:t xml:space="preserve">, надавати доступ іншим операторам до </w:t>
      </w:r>
      <w:r w:rsidRPr="00BB3D30">
        <w:t>будь-як</w:t>
      </w:r>
      <w:r>
        <w:t>ої</w:t>
      </w:r>
      <w:r w:rsidRPr="00BB3D30">
        <w:t xml:space="preserve"> нов</w:t>
      </w:r>
      <w:r>
        <w:t>ої опто</w:t>
      </w:r>
      <w:r w:rsidRPr="00BB3D30">
        <w:t>волоконн</w:t>
      </w:r>
      <w:r>
        <w:t>ої мережі</w:t>
      </w:r>
      <w:r w:rsidRPr="00BB3D30">
        <w:t xml:space="preserve">, яку вони хочуть розгорнути. </w:t>
      </w:r>
    </w:p>
    <w:p w:rsidR="00E20BF9" w:rsidRDefault="00E20BF9" w:rsidP="00154245">
      <w:r>
        <w:t>Інші</w:t>
      </w:r>
      <w:r w:rsidR="00154245">
        <w:t xml:space="preserve"> приклади: </w:t>
      </w:r>
    </w:p>
    <w:p w:rsidR="00154245" w:rsidRDefault="00E20BF9" w:rsidP="0015424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Велика Британія: 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T-</w:t>
      </w:r>
      <w:proofErr w:type="spellStart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Mobile</w:t>
      </w:r>
      <w:proofErr w:type="spellEnd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та </w:t>
      </w:r>
      <w:proofErr w:type="spellStart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Three</w:t>
      </w:r>
      <w:proofErr w:type="spellEnd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заснували компанію MBNL </w:t>
      </w:r>
      <w:proofErr w:type="spellStart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in</w:t>
      </w:r>
      <w:proofErr w:type="spellEnd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2007, яка спочатку </w:t>
      </w:r>
      <w:proofErr w:type="spellStart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пла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нувалалсь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як оператор 3G мереж; 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O2 і </w:t>
      </w:r>
      <w:proofErr w:type="spellStart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Vodafone</w:t>
      </w:r>
      <w:proofErr w:type="spellEnd"/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54245" w:rsidRP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п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ід час розгортання 4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</w:t>
      </w:r>
      <w:r w:rsidR="00154245" w:rsidRP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 2012</w:t>
      </w:r>
      <w:r w:rsidR="003D57C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спільно створили компанію 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CTIL</w:t>
      </w:r>
      <w:r w:rsidR="003D57CA">
        <w:rPr>
          <w:rFonts w:ascii="Arial" w:hAnsi="Arial" w:cs="Arial"/>
          <w:color w:val="222222"/>
          <w:sz w:val="21"/>
          <w:szCs w:val="21"/>
          <w:shd w:val="clear" w:color="auto" w:fill="FFFFFF"/>
        </w:rPr>
        <w:t>, яка управляє спільною інфраструктурою радіо щогл</w:t>
      </w:r>
      <w:r w:rsidR="00154245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20BF9" w:rsidRDefault="00E20BF9" w:rsidP="00E20BF9">
      <w:r>
        <w:t xml:space="preserve">Італія: взаємний доступ до інфраструктури </w:t>
      </w:r>
      <w:r w:rsidRPr="00E20BF9">
        <w:rPr>
          <w:lang w:val="en-US"/>
        </w:rPr>
        <w:t>Vodafone</w:t>
      </w:r>
      <w:r w:rsidRPr="00474F56">
        <w:t xml:space="preserve"> та </w:t>
      </w:r>
      <w:proofErr w:type="spellStart"/>
      <w:r w:rsidRPr="00E20BF9">
        <w:rPr>
          <w:lang w:val="en-US"/>
        </w:rPr>
        <w:t>Telcom</w:t>
      </w:r>
      <w:proofErr w:type="spellEnd"/>
      <w:r w:rsidRPr="00474F56">
        <w:t xml:space="preserve"> </w:t>
      </w:r>
      <w:r w:rsidRPr="00E20BF9">
        <w:rPr>
          <w:lang w:val="en-US"/>
        </w:rPr>
        <w:t>Italia</w:t>
      </w:r>
      <w:r w:rsidRPr="00474F56">
        <w:t xml:space="preserve"> п</w:t>
      </w:r>
      <w:r>
        <w:t>ід час розбудови 4</w:t>
      </w:r>
      <w:r w:rsidRPr="00E20BF9">
        <w:rPr>
          <w:lang w:val="en-US"/>
        </w:rPr>
        <w:t>G</w:t>
      </w:r>
      <w:r w:rsidRPr="00474F56">
        <w:t xml:space="preserve"> </w:t>
      </w:r>
      <w:r>
        <w:t xml:space="preserve">і </w:t>
      </w:r>
      <w:r w:rsidRPr="00474F56">
        <w:t>5</w:t>
      </w:r>
      <w:r w:rsidRPr="00E20BF9">
        <w:rPr>
          <w:lang w:val="en-US"/>
        </w:rPr>
        <w:t>G</w:t>
      </w:r>
      <w:r>
        <w:t xml:space="preserve"> мереж</w:t>
      </w:r>
    </w:p>
    <w:p w:rsidR="00E20BF9" w:rsidRDefault="00E20BF9" w:rsidP="00E20BF9">
      <w:r>
        <w:t xml:space="preserve">Іспанія: співпраця </w:t>
      </w:r>
      <w:proofErr w:type="spellStart"/>
      <w:r>
        <w:t>Vodafone</w:t>
      </w:r>
      <w:proofErr w:type="spellEnd"/>
      <w:r>
        <w:t xml:space="preserve"> і </w:t>
      </w:r>
      <w:proofErr w:type="spellStart"/>
      <w:r>
        <w:t>Orange</w:t>
      </w:r>
      <w:proofErr w:type="spellEnd"/>
    </w:p>
    <w:p w:rsidR="00E20BF9" w:rsidRDefault="00E20BF9" w:rsidP="00E20BF9">
      <w:r>
        <w:t xml:space="preserve">Швеція: співпраця </w:t>
      </w:r>
      <w:proofErr w:type="spellStart"/>
      <w:r>
        <w:t>Vodafone</w:t>
      </w:r>
      <w:proofErr w:type="spellEnd"/>
      <w:r>
        <w:t xml:space="preserve"> і </w:t>
      </w:r>
      <w:proofErr w:type="spellStart"/>
      <w:r>
        <w:t>Hutchson</w:t>
      </w:r>
      <w:proofErr w:type="spellEnd"/>
    </w:p>
    <w:p w:rsidR="00474F56" w:rsidRPr="006F798A" w:rsidRDefault="00474F56" w:rsidP="00474F56">
      <w:r w:rsidRPr="006F798A">
        <w:rPr>
          <w:u w:val="single"/>
        </w:rPr>
        <w:t>Питання добросовісної конкуренції</w:t>
      </w:r>
      <w:r>
        <w:t>:</w:t>
      </w:r>
    </w:p>
    <w:p w:rsidR="00474F56" w:rsidRDefault="00474F56" w:rsidP="00474F56">
      <w:pPr>
        <w:pStyle w:val="a4"/>
        <w:tabs>
          <w:tab w:val="left" w:pos="459"/>
        </w:tabs>
        <w:spacing w:line="276" w:lineRule="auto"/>
        <w:ind w:left="175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6F798A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Угоди про взаємне використання мереж не спрямовані на обмеження конкуренції, оскільки всі </w:t>
      </w:r>
      <w:r w:rsidRPr="00474F5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</w:t>
      </w:r>
      <w:r w:rsidRPr="006F798A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торони продовжуватимуть конкурувати на рівні роздрібної торгівлі (через незалежне встановлення тарифів та пропозицій, ціноутворення та управління досвідом клієнтів), одночасно співпрацюючи на рівні мережі, щоб забезпечити якість обслуговування та пов'язану з цим ефективність витрат.</w:t>
      </w:r>
    </w:p>
    <w:p w:rsidR="007E3BF9" w:rsidRDefault="007E3BF9" w:rsidP="007E3BF9">
      <w:pPr>
        <w:pStyle w:val="a3"/>
        <w:ind w:left="142"/>
      </w:pPr>
      <w:r>
        <w:t>Оператори ініціюють отримання узгодження з</w:t>
      </w:r>
      <w:r w:rsidRPr="006F798A">
        <w:t xml:space="preserve"> </w:t>
      </w:r>
      <w:r>
        <w:t>б</w:t>
      </w:r>
      <w:r w:rsidRPr="006F798A">
        <w:t>о</w:t>
      </w:r>
      <w:r>
        <w:t>ку</w:t>
      </w:r>
      <w:r w:rsidRPr="006F798A">
        <w:t xml:space="preserve"> АМКУ </w:t>
      </w:r>
      <w:r>
        <w:t>щодо</w:t>
      </w:r>
      <w:r w:rsidRPr="006F798A">
        <w:t xml:space="preserve"> за</w:t>
      </w:r>
      <w:r>
        <w:t>х</w:t>
      </w:r>
      <w:r w:rsidRPr="006F798A">
        <w:t>и</w:t>
      </w:r>
      <w:r>
        <w:t>с</w:t>
      </w:r>
      <w:r w:rsidRPr="006F798A">
        <w:t>т</w:t>
      </w:r>
      <w:r>
        <w:t>у е</w:t>
      </w:r>
      <w:r w:rsidRPr="006F798A">
        <w:t>коном</w:t>
      </w:r>
      <w:r>
        <w:t>і</w:t>
      </w:r>
      <w:r w:rsidRPr="006F798A">
        <w:t>ч</w:t>
      </w:r>
      <w:r>
        <w:t>н</w:t>
      </w:r>
      <w:r w:rsidRPr="006F798A">
        <w:t>о</w:t>
      </w:r>
      <w:r>
        <w:t>ї</w:t>
      </w:r>
      <w:r w:rsidRPr="006F798A">
        <w:t xml:space="preserve"> конкуренц</w:t>
      </w:r>
      <w:r>
        <w:t>ії</w:t>
      </w:r>
      <w:r w:rsidRPr="006F798A">
        <w:t xml:space="preserve"> п</w:t>
      </w:r>
      <w:r>
        <w:t>і</w:t>
      </w:r>
      <w:r w:rsidRPr="006F798A">
        <w:t>сл</w:t>
      </w:r>
      <w:r>
        <w:t>я</w:t>
      </w:r>
      <w:r w:rsidRPr="006F798A">
        <w:t xml:space="preserve"> завершен</w:t>
      </w:r>
      <w:r>
        <w:t>н</w:t>
      </w:r>
      <w:r w:rsidRPr="006F798A">
        <w:t>я процес</w:t>
      </w:r>
      <w:r>
        <w:t>у</w:t>
      </w:r>
      <w:r w:rsidRPr="006F798A">
        <w:t xml:space="preserve"> п</w:t>
      </w:r>
      <w:r>
        <w:t>і</w:t>
      </w:r>
      <w:r w:rsidRPr="006F798A">
        <w:t>дписан</w:t>
      </w:r>
      <w:r>
        <w:t>ня</w:t>
      </w:r>
      <w:r w:rsidRPr="006F798A">
        <w:t xml:space="preserve"> Меморандум</w:t>
      </w:r>
      <w:r>
        <w:t>у</w:t>
      </w:r>
      <w:r w:rsidRPr="006F798A">
        <w:t xml:space="preserve"> </w:t>
      </w:r>
      <w:r>
        <w:t>у вигляді спільної заяви операторів на узгодження дій.</w:t>
      </w:r>
    </w:p>
    <w:p w:rsidR="007E3BF9" w:rsidRDefault="007E3BF9" w:rsidP="007E3BF9">
      <w:pPr>
        <w:pStyle w:val="a3"/>
        <w:ind w:left="142"/>
      </w:pPr>
      <w:r>
        <w:lastRenderedPageBreak/>
        <w:t>Підписанти меморандуму вже отримали</w:t>
      </w:r>
      <w:r w:rsidRPr="006F798A">
        <w:t xml:space="preserve"> </w:t>
      </w:r>
      <w:r>
        <w:t>схвалення ініціативи з боку НКРЗІ та суспільних галузевих організацій</w:t>
      </w:r>
      <w:r w:rsidRPr="006F798A">
        <w:t>.</w:t>
      </w:r>
    </w:p>
    <w:p w:rsidR="007E3BF9" w:rsidRDefault="007E3BF9" w:rsidP="007E3BF9">
      <w:pPr>
        <w:pStyle w:val="a3"/>
        <w:ind w:left="142"/>
      </w:pPr>
    </w:p>
    <w:p w:rsidR="007E3BF9" w:rsidRPr="007E3BF9" w:rsidRDefault="007E3BF9" w:rsidP="007E3BF9">
      <w:pPr>
        <w:pStyle w:val="a3"/>
        <w:ind w:left="0"/>
        <w:rPr>
          <w:u w:val="single"/>
        </w:rPr>
      </w:pPr>
      <w:r w:rsidRPr="007E3BF9">
        <w:rPr>
          <w:u w:val="single"/>
        </w:rPr>
        <w:t>Подальші дії:</w:t>
      </w:r>
    </w:p>
    <w:p w:rsidR="00E31188" w:rsidRPr="006F798A" w:rsidRDefault="007E3BF9" w:rsidP="002B3539">
      <w:pPr>
        <w:pStyle w:val="a3"/>
        <w:ind w:left="142"/>
      </w:pPr>
      <w:r>
        <w:t>Вже створено робочу групу, яка найближчим часом визначить спільні: план розгортання мережі, який включає територію, строки, умови, дії щодо радіо-планування та тестування.</w:t>
      </w:r>
    </w:p>
    <w:sectPr w:rsidR="00E31188" w:rsidRPr="006F7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53C"/>
    <w:multiLevelType w:val="hybridMultilevel"/>
    <w:tmpl w:val="AF840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305"/>
    <w:multiLevelType w:val="hybridMultilevel"/>
    <w:tmpl w:val="1D886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033A"/>
    <w:multiLevelType w:val="hybridMultilevel"/>
    <w:tmpl w:val="D7AA2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181F"/>
    <w:multiLevelType w:val="hybridMultilevel"/>
    <w:tmpl w:val="3A5898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3E049E"/>
    <w:multiLevelType w:val="hybridMultilevel"/>
    <w:tmpl w:val="94A034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0D0D32"/>
    <w:multiLevelType w:val="hybridMultilevel"/>
    <w:tmpl w:val="EB4E9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465A"/>
    <w:multiLevelType w:val="hybridMultilevel"/>
    <w:tmpl w:val="4B5A0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4805"/>
    <w:multiLevelType w:val="hybridMultilevel"/>
    <w:tmpl w:val="69B0E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5B3C"/>
    <w:multiLevelType w:val="hybridMultilevel"/>
    <w:tmpl w:val="9B9E8BB2"/>
    <w:lvl w:ilvl="0" w:tplc="54140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60"/>
    <w:rsid w:val="00004803"/>
    <w:rsid w:val="00036454"/>
    <w:rsid w:val="000A770C"/>
    <w:rsid w:val="00154245"/>
    <w:rsid w:val="00177823"/>
    <w:rsid w:val="001C01BF"/>
    <w:rsid w:val="002B3539"/>
    <w:rsid w:val="002C0BD4"/>
    <w:rsid w:val="002F5F49"/>
    <w:rsid w:val="003B2FE2"/>
    <w:rsid w:val="003D57CA"/>
    <w:rsid w:val="00474F56"/>
    <w:rsid w:val="004E7684"/>
    <w:rsid w:val="00506586"/>
    <w:rsid w:val="00546BBC"/>
    <w:rsid w:val="006B36B4"/>
    <w:rsid w:val="006F798A"/>
    <w:rsid w:val="007E3BF9"/>
    <w:rsid w:val="0084496A"/>
    <w:rsid w:val="008B365C"/>
    <w:rsid w:val="00977260"/>
    <w:rsid w:val="00BB3D30"/>
    <w:rsid w:val="00C23FD3"/>
    <w:rsid w:val="00C54860"/>
    <w:rsid w:val="00C61925"/>
    <w:rsid w:val="00CA63C7"/>
    <w:rsid w:val="00D17F38"/>
    <w:rsid w:val="00D85077"/>
    <w:rsid w:val="00DB4923"/>
    <w:rsid w:val="00E20BF9"/>
    <w:rsid w:val="00E31188"/>
    <w:rsid w:val="00E7617C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565E-A97E-4EB9-9ABD-6E0EDAF8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6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46B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46BBC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tlid-translation">
    <w:name w:val="tlid-translation"/>
    <w:rsid w:val="005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FA4C-CE22-4326-B7F6-5D788C0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EF656C4B</Template>
  <TotalTime>2467</TotalTime>
  <Pages>2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 Victoria</dc:creator>
  <cp:keywords/>
  <dc:description/>
  <cp:lastModifiedBy>Pavlovskaya Victoria</cp:lastModifiedBy>
  <cp:revision>6</cp:revision>
  <dcterms:created xsi:type="dcterms:W3CDTF">2020-07-06T10:42:00Z</dcterms:created>
  <dcterms:modified xsi:type="dcterms:W3CDTF">2020-07-09T06:55:00Z</dcterms:modified>
</cp:coreProperties>
</file>